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276" w:lineRule="auto"/>
        <w:jc w:val="center"/>
        <w:rPr>
          <w:rFonts w:cs="Times New Roman" w:asciiTheme="minorEastAsia" w:hAnsiTheme="minorEastAsia" w:eastAsiaTheme="minorEastAsia"/>
          <w:kern w:val="0"/>
          <w:sz w:val="21"/>
          <w:szCs w:val="21"/>
        </w:rPr>
      </w:pPr>
      <w:r>
        <w:rPr>
          <w:rFonts w:cs="Times New Roman" w:asciiTheme="minorEastAsia" w:hAnsiTheme="minorEastAsia" w:eastAsiaTheme="minorEastAsia"/>
          <w:b/>
          <w:bCs/>
          <w:sz w:val="21"/>
          <w:szCs w:val="21"/>
        </w:rPr>
        <w:t xml:space="preserve">附表2  </w:t>
      </w:r>
      <w:r>
        <w:rPr>
          <w:rFonts w:hint="eastAsia" w:cs="Times New Roman" w:asciiTheme="minorEastAsia" w:hAnsiTheme="minorEastAsia" w:eastAsiaTheme="minorEastAsia"/>
          <w:b/>
          <w:bCs/>
          <w:sz w:val="21"/>
          <w:szCs w:val="21"/>
        </w:rPr>
        <w:t>建设项目</w:t>
      </w:r>
      <w:r>
        <w:rPr>
          <w:rFonts w:cs="Times New Roman" w:asciiTheme="minorEastAsia" w:hAnsiTheme="minorEastAsia" w:eastAsiaTheme="minorEastAsia"/>
          <w:b/>
          <w:bCs/>
          <w:sz w:val="21"/>
          <w:szCs w:val="21"/>
        </w:rPr>
        <w:t>地表水环境影响评价自查表</w:t>
      </w:r>
    </w:p>
    <w:tbl>
      <w:tblPr>
        <w:tblStyle w:val="8"/>
        <w:tblW w:w="502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1668"/>
        <w:gridCol w:w="2434"/>
        <w:gridCol w:w="1099"/>
        <w:gridCol w:w="1310"/>
        <w:gridCol w:w="676"/>
        <w:gridCol w:w="1519"/>
        <w:gridCol w:w="462"/>
        <w:gridCol w:w="428"/>
        <w:gridCol w:w="1299"/>
        <w:gridCol w:w="268"/>
        <w:gridCol w:w="628"/>
        <w:gridCol w:w="17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Header/>
          <w:jc w:val="center"/>
        </w:trPr>
        <w:tc>
          <w:tcPr>
            <w:tcW w:w="775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工作内容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影响识别</w:t>
            </w: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影响类型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水污染影响型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；水文要素影响型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水环境保护目标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饮用水水源保护区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；饮用水取水口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；涉水的自然保护区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；重要湿地□；重点保护与珍稀水生生物的栖息地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重要水生生物的自然产卵场及索饵场、越冬场和洄游通道□；天然渔场等渔业水体□；涉水的风景名胜区□；其他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影响途径</w:t>
            </w: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水污染影响型</w:t>
            </w:r>
          </w:p>
        </w:tc>
        <w:tc>
          <w:tcPr>
            <w:tcW w:w="2264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水文要素影响型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直接排放□；间接排放□；其他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</w:tc>
        <w:tc>
          <w:tcPr>
            <w:tcW w:w="2264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水温□；径流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；水域面积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影响因子</w:t>
            </w: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持久性污染物□；有毒有害污染物□；非持久性污染物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pH值□；热污染□；富营养化□；其他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</w:tc>
        <w:tc>
          <w:tcPr>
            <w:tcW w:w="2264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水温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；水位（水深）□；流速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；流量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；其他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775" w:type="pct"/>
            <w:gridSpan w:val="2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评价等级</w:t>
            </w: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水污染影响型</w:t>
            </w:r>
          </w:p>
        </w:tc>
        <w:tc>
          <w:tcPr>
            <w:tcW w:w="2264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水文要素影响型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775" w:type="pct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一级□；二级□；三级A□；三级B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</w:tc>
        <w:tc>
          <w:tcPr>
            <w:tcW w:w="2264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一级□；二级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；三级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现状调查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区域污染源</w:t>
            </w: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调查项目</w:t>
            </w:r>
          </w:p>
        </w:tc>
        <w:tc>
          <w:tcPr>
            <w:tcW w:w="2264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数据来源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54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已建□；在建□；拟建□；其他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</w:tc>
        <w:tc>
          <w:tcPr>
            <w:tcW w:w="704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拟替代的污染源□</w:t>
            </w:r>
          </w:p>
        </w:tc>
        <w:tc>
          <w:tcPr>
            <w:tcW w:w="2264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排污许可证□；环评□；环保验收□；既有实测□；现场监测□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入河排放口数据□；其他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受影响水体水环境质量</w:t>
            </w: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调查时期</w:t>
            </w:r>
          </w:p>
        </w:tc>
        <w:tc>
          <w:tcPr>
            <w:tcW w:w="2264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数据来源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丰水期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；平水期□；枯水期□；冰封期□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春季□；夏季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；秋季□；冬季□</w:t>
            </w:r>
          </w:p>
        </w:tc>
        <w:tc>
          <w:tcPr>
            <w:tcW w:w="2264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生态环境保护主管部门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；补充监测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；其他□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区域水资源开发利用状况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未开发□；开发量40%以下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；开发量40%以上□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水文情势调查</w:t>
            </w: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调查时期</w:t>
            </w:r>
          </w:p>
        </w:tc>
        <w:tc>
          <w:tcPr>
            <w:tcW w:w="2264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数据来源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丰水期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；平水期□；枯水期□；冰封期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春季□；夏季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；秋季□；冬季□</w:t>
            </w:r>
          </w:p>
        </w:tc>
        <w:tc>
          <w:tcPr>
            <w:tcW w:w="2264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水行政主管部门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；补充监测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；其他□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补充监测</w:t>
            </w: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监测时期</w:t>
            </w:r>
          </w:p>
        </w:tc>
        <w:tc>
          <w:tcPr>
            <w:tcW w:w="1411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监测因子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监测断面或点位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丰水期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□</w:t>
            </w:r>
            <w:r>
              <w:rPr>
                <w:rFonts w:asciiTheme="minorEastAsia" w:hAnsiTheme="minorEastAsia" w:eastAsiaTheme="minorEastAsia"/>
                <w:szCs w:val="21"/>
              </w:rPr>
              <w:t>；平水期□；枯水期□；冰封期□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春季□；夏季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□</w:t>
            </w:r>
            <w:r>
              <w:rPr>
                <w:rFonts w:asciiTheme="minorEastAsia" w:hAnsiTheme="minorEastAsia" w:eastAsiaTheme="minorEastAsia"/>
                <w:szCs w:val="21"/>
              </w:rPr>
              <w:t>；秋季□；冬季□</w:t>
            </w:r>
          </w:p>
        </w:tc>
        <w:tc>
          <w:tcPr>
            <w:tcW w:w="1411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/>
                <w:bCs/>
                <w:szCs w:val="21"/>
              </w:rPr>
              <w:t>pH值、水温、悬浮物、化学需氧量、溶解氧、生化需氧量、氨氮、总磷、石油类、硫化物、氟化物、挥发酚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监测断面或点位个数（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现状评价</w:t>
            </w: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评价范围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河流：长度（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11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）km；湖库、河口及近岸海域：面积（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）km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评价因子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asciiTheme="minorEastAsia" w:hAnsiTheme="minorEastAsia" w:eastAsiaTheme="minorEastAsia"/>
                <w:snapToGrid w:val="0"/>
                <w:kern w:val="0"/>
                <w:sz w:val="18"/>
                <w:szCs w:val="18"/>
              </w:rPr>
              <w:t>pH值、</w:t>
            </w:r>
            <w:r>
              <w:rPr>
                <w:rFonts w:hint="eastAsia" w:asciiTheme="minorEastAsia" w:hAnsiTheme="minorEastAsia" w:eastAsiaTheme="minorEastAsia"/>
                <w:snapToGrid w:val="0"/>
                <w:kern w:val="0"/>
                <w:sz w:val="18"/>
                <w:szCs w:val="18"/>
              </w:rPr>
              <w:t>化学需氧量、五日生化需氧量、氨氮、总磷、悬浮物、石油类等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评价标准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河流、湖库、河口：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Ⅰ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类□；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Ⅱ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类□；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Ⅲ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类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Ⅳ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类□；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Ⅴ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类□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近岸海域：第一类□；第二类□；第三类□；第四类□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规划年评价标准（）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评价时期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丰水期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；平水期□；枯水期□；冰封期□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春季□；夏季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；秋季□；冬季□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评价结论</w:t>
            </w:r>
          </w:p>
        </w:tc>
        <w:tc>
          <w:tcPr>
            <w:tcW w:w="3593" w:type="pct"/>
            <w:gridSpan w:val="10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水环境功能区或水功能区、近岸海域环境功能区水质达标状况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：达标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；不达标□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水环境控制单元或断面水质达标状况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：达标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；不达标□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水环境保护目标质量状况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：达标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；不达标□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对照断面、控制断面等代表性断面的水质状况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：达标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；不达标□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底泥污染评价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水资源与开发利用程度及其水文情势评价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水环境质量回顾评价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流域（区域）水资源（包括水能资源）与开发利用总体状况、生态流量管理要求与现状满足程度、建设项目占用水域空间的水流状况与河湖演变状况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</w:tc>
        <w:tc>
          <w:tcPr>
            <w:tcW w:w="631" w:type="pct"/>
            <w:shd w:val="clear" w:color="auto" w:fill="auto"/>
            <w:vAlign w:val="center"/>
          </w:tcPr>
          <w:p>
            <w:pPr>
              <w:adjustRightInd w:val="0"/>
              <w:snapToGrid w:val="0"/>
              <w:ind w:firstLine="180" w:firstLineChars="10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达标区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  <w:p>
            <w:pPr>
              <w:adjustRightInd w:val="0"/>
              <w:snapToGrid w:val="0"/>
              <w:ind w:firstLine="180" w:firstLineChars="10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不达标区□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影响预测</w:t>
            </w: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预测范围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河流：长度（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11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）km；湖库、河口及近岸海域：面积（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）km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预测因子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/>
                <w:snapToGrid w:val="0"/>
                <w:kern w:val="0"/>
                <w:sz w:val="18"/>
                <w:szCs w:val="18"/>
              </w:rPr>
              <w:t>石油类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预测时期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丰水期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；平水期□；枯水期□；冰封期□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春季□；夏季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；秋季□；冬季□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设计水文条件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预测背景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建设期□；生产运行期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；服务期满后□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正常工况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；非正常工况□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污染控制和减缓措施方案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区（流）域环境质量改善目标要求情景□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预测方法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数值解□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；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解析解□；其他□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导则推荐模式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：其他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83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影响评价</w:t>
            </w: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水污染控制和水环境影响减缓措施有效性评价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区（流）域水环境质量改善目标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；替代削减源□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水环境影响评价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排放口混合区外满足水环境管理要求□</w:t>
            </w:r>
          </w:p>
          <w:p>
            <w:pPr>
              <w:adjustRightInd w:val="0"/>
              <w:snapToGrid w:val="0"/>
              <w:spacing w:line="216" w:lineRule="auto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水环境功能区或水功能区、近岸海域环境功能区水质达标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  <w:p>
            <w:pPr>
              <w:adjustRightInd w:val="0"/>
              <w:snapToGrid w:val="0"/>
              <w:spacing w:line="216" w:lineRule="auto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满足水环境保护目标水域水环境质量要求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  <w:p>
            <w:pPr>
              <w:adjustRightInd w:val="0"/>
              <w:snapToGrid w:val="0"/>
              <w:spacing w:line="216" w:lineRule="auto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水环境控制单元或断面水质达标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  <w:p>
            <w:pPr>
              <w:adjustRightInd w:val="0"/>
              <w:snapToGrid w:val="0"/>
              <w:spacing w:line="216" w:lineRule="auto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满足重点水污染物排放总量控制指标要求，重点行业建设项目，主要污染物排放满足等量或减量替代要求□</w:t>
            </w:r>
          </w:p>
          <w:p>
            <w:pPr>
              <w:adjustRightInd w:val="0"/>
              <w:snapToGrid w:val="0"/>
              <w:spacing w:line="216" w:lineRule="auto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满足区（流）域水环境质量改善目标要求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  <w:p>
            <w:pPr>
              <w:adjustRightInd w:val="0"/>
              <w:snapToGrid w:val="0"/>
              <w:spacing w:line="216" w:lineRule="auto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水文要素影响型建设项目同时应包括水文情势变化评价、主要水文特征值影响评价、生态流量符合性评价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  <w:p>
            <w:pPr>
              <w:adjustRightInd w:val="0"/>
              <w:snapToGrid w:val="0"/>
              <w:spacing w:line="216" w:lineRule="auto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对于新设或调整入河（湖库、近岸海域）排放口的建设项目，应包括排放口设置的环境合理性评价□</w:t>
            </w:r>
          </w:p>
          <w:p>
            <w:pPr>
              <w:adjustRightInd w:val="0"/>
              <w:snapToGrid w:val="0"/>
              <w:spacing w:line="216" w:lineRule="auto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满足生态保护红线、水环境质量底线、资源利用上线和环境准入清单管理要求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污染物排放量核算</w:t>
            </w:r>
          </w:p>
        </w:tc>
        <w:tc>
          <w:tcPr>
            <w:tcW w:w="1254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污染物名称</w:t>
            </w:r>
          </w:p>
        </w:tc>
        <w:tc>
          <w:tcPr>
            <w:tcW w:w="1560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排放量/（t/a）</w:t>
            </w:r>
          </w:p>
        </w:tc>
        <w:tc>
          <w:tcPr>
            <w:tcW w:w="1408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排放浓度/（mg/L）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54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1560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1408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替代源排放情况</w:t>
            </w:r>
          </w:p>
        </w:tc>
        <w:tc>
          <w:tcPr>
            <w:tcW w:w="86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污染源名称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排污许可证编号</w:t>
            </w:r>
          </w:p>
        </w:tc>
        <w:tc>
          <w:tcPr>
            <w:tcW w:w="778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污染物名称</w:t>
            </w:r>
          </w:p>
        </w:tc>
        <w:tc>
          <w:tcPr>
            <w:tcW w:w="777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排放量/（t/a）</w:t>
            </w:r>
          </w:p>
        </w:tc>
        <w:tc>
          <w:tcPr>
            <w:tcW w:w="948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排放浓度/（mg/L）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855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778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777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948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生态流量确定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生态流量：一般水期（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/s；鱼类繁殖期（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/s；其他（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/s</w:t>
            </w:r>
          </w:p>
          <w:p>
            <w:pPr>
              <w:adjustRightInd w:val="0"/>
              <w:snapToGrid w:val="0"/>
              <w:spacing w:line="216" w:lineRule="auto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生态水位：一般水期（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）m；鱼类繁殖期（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）m；其他（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防治措施</w:t>
            </w: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环保措施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污水处理设施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；水文减缓设施 □；生态流量保障设施 □；区域削减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；依托其他工程措施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；其他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监测计划</w:t>
            </w:r>
          </w:p>
        </w:tc>
        <w:tc>
          <w:tcPr>
            <w:tcW w:w="86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9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环境质量</w:t>
            </w:r>
          </w:p>
        </w:tc>
        <w:tc>
          <w:tcPr>
            <w:tcW w:w="1561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监测方式</w:t>
            </w:r>
          </w:p>
        </w:tc>
        <w:tc>
          <w:tcPr>
            <w:tcW w:w="179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手动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；自动□；无监测□</w:t>
            </w:r>
          </w:p>
        </w:tc>
        <w:tc>
          <w:tcPr>
            <w:tcW w:w="1561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手动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；自动□；无监测□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监测点位</w:t>
            </w:r>
          </w:p>
        </w:tc>
        <w:tc>
          <w:tcPr>
            <w:tcW w:w="1798" w:type="pct"/>
            <w:gridSpan w:val="5"/>
            <w:shd w:val="clear" w:color="auto" w:fill="auto"/>
            <w:vAlign w:val="center"/>
          </w:tcPr>
          <w:p>
            <w:pPr>
              <w:pStyle w:val="19"/>
              <w:adjustRightInd w:val="0"/>
              <w:snapToGrid w:val="0"/>
              <w:spacing w:line="240" w:lineRule="auto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sz w:val="21"/>
                <w:szCs w:val="21"/>
              </w:rPr>
              <w:t>本项目码头泊位上游500m及下游1.0km处</w:t>
            </w:r>
            <w:r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561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监测因子</w:t>
            </w:r>
          </w:p>
        </w:tc>
        <w:tc>
          <w:tcPr>
            <w:tcW w:w="179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Theme="minorEastAsia" w:hAnsiTheme="minorEastAsia" w:eastAsiaTheme="minorEastAsia"/>
                <w:snapToGrid w:val="0"/>
                <w:kern w:val="0"/>
                <w:sz w:val="18"/>
                <w:szCs w:val="18"/>
              </w:rPr>
              <w:t>pH值、</w:t>
            </w:r>
            <w:r>
              <w:rPr>
                <w:rFonts w:hint="eastAsia" w:asciiTheme="minorEastAsia" w:hAnsiTheme="minorEastAsia" w:eastAsiaTheme="minorEastAsia"/>
                <w:snapToGrid w:val="0"/>
                <w:kern w:val="0"/>
                <w:sz w:val="18"/>
                <w:szCs w:val="18"/>
              </w:rPr>
              <w:t>溶氧量、化学需氧量、五日生化需氧量、氨氮、悬浮物、石油类等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561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16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83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污染物排放清单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775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评价结论</w:t>
            </w:r>
          </w:p>
        </w:tc>
        <w:tc>
          <w:tcPr>
            <w:tcW w:w="4224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可以接受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；不可以接受□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13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注：“□”为勾选项，可打√；“（）”为内容填写项；“备注”为其他补充内容。</w:t>
            </w:r>
          </w:p>
        </w:tc>
      </w:tr>
    </w:tbl>
    <w:p>
      <w:pPr>
        <w:adjustRightInd w:val="0"/>
        <w:snapToGrid w:val="0"/>
        <w:spacing w:line="14" w:lineRule="auto"/>
        <w:rPr>
          <w:rFonts w:asciiTheme="minorEastAsia" w:hAnsiTheme="minorEastAsia" w:eastAsiaTheme="minorEastAsia"/>
          <w:b/>
          <w:bCs/>
          <w:color w:val="000000"/>
          <w:szCs w:val="21"/>
        </w:rPr>
        <w:sectPr>
          <w:pgSz w:w="16838" w:h="11906" w:orient="landscape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adjustRightInd w:val="0"/>
        <w:snapToGrid w:val="0"/>
        <w:spacing w:line="14" w:lineRule="auto"/>
        <w:rPr>
          <w:rFonts w:asciiTheme="minorEastAsia" w:hAnsiTheme="minorEastAsia" w:eastAsiaTheme="minorEastAsia"/>
          <w:b/>
          <w:bCs/>
          <w:color w:val="000000"/>
          <w:szCs w:val="21"/>
        </w:rPr>
      </w:pPr>
    </w:p>
    <w:p>
      <w:pPr>
        <w:spacing w:line="276" w:lineRule="auto"/>
        <w:ind w:firstLine="422" w:firstLineChars="200"/>
        <w:jc w:val="center"/>
        <w:rPr>
          <w:rFonts w:asciiTheme="minorEastAsia" w:hAnsiTheme="minorEastAsia" w:eastAsia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附表3  建设项目大气环境影响评价自查表</w:t>
      </w:r>
    </w:p>
    <w:tbl>
      <w:tblPr>
        <w:tblStyle w:val="8"/>
        <w:tblW w:w="499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6"/>
        <w:gridCol w:w="1337"/>
        <w:gridCol w:w="826"/>
        <w:gridCol w:w="80"/>
        <w:gridCol w:w="422"/>
        <w:gridCol w:w="426"/>
        <w:gridCol w:w="173"/>
        <w:gridCol w:w="15"/>
        <w:gridCol w:w="124"/>
        <w:gridCol w:w="735"/>
        <w:gridCol w:w="338"/>
        <w:gridCol w:w="146"/>
        <w:gridCol w:w="582"/>
        <w:gridCol w:w="406"/>
        <w:gridCol w:w="930"/>
        <w:gridCol w:w="140"/>
        <w:gridCol w:w="382"/>
        <w:gridCol w:w="528"/>
        <w:gridCol w:w="6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233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工作内容</w:t>
            </w:r>
          </w:p>
        </w:tc>
        <w:tc>
          <w:tcPr>
            <w:tcW w:w="3766" w:type="pct"/>
            <w:gridSpan w:val="1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评价等级与范围</w:t>
            </w: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评价等级</w:t>
            </w:r>
          </w:p>
        </w:tc>
        <w:tc>
          <w:tcPr>
            <w:tcW w:w="1067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一级□</w:t>
            </w:r>
          </w:p>
        </w:tc>
        <w:tc>
          <w:tcPr>
            <w:tcW w:w="1280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二级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sym w:font="Wingdings 2" w:char="00A3"/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三级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评价范围</w:t>
            </w:r>
          </w:p>
        </w:tc>
        <w:tc>
          <w:tcPr>
            <w:tcW w:w="1067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边长=50km□</w:t>
            </w:r>
          </w:p>
        </w:tc>
        <w:tc>
          <w:tcPr>
            <w:tcW w:w="1280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边长5～50km□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边长=5km☑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评价因子</w:t>
            </w: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SO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+NO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x</w:t>
            </w:r>
            <w:r>
              <w:rPr>
                <w:rFonts w:hint="eastAsia" w:ascii="宋体" w:hAnsi="宋体" w:cs="宋体"/>
                <w:sz w:val="18"/>
                <w:szCs w:val="18"/>
              </w:rPr>
              <w:t>排放量</w:t>
            </w:r>
          </w:p>
        </w:tc>
        <w:tc>
          <w:tcPr>
            <w:tcW w:w="1067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≥2000t/a□</w:t>
            </w:r>
          </w:p>
        </w:tc>
        <w:tc>
          <w:tcPr>
            <w:tcW w:w="1280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500～2000t/a□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＜500t/a□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评价因子</w:t>
            </w:r>
          </w:p>
        </w:tc>
        <w:tc>
          <w:tcPr>
            <w:tcW w:w="2348" w:type="pct"/>
            <w:gridSpan w:val="12"/>
            <w:shd w:val="clear" w:color="auto" w:fill="auto"/>
            <w:vAlign w:val="center"/>
          </w:tcPr>
          <w:p>
            <w:pPr>
              <w:adjustRightInd w:val="0"/>
              <w:snapToGrid w:val="0"/>
              <w:ind w:firstLine="18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基本污染物（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SO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、NO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、CO、TSP、PM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、PM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</w:p>
          <w:p>
            <w:pPr>
              <w:adjustRightInd w:val="0"/>
              <w:snapToGrid w:val="0"/>
              <w:ind w:left="718" w:leftChars="85" w:hanging="540" w:hangingChars="30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其他污染物（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TSP、VOCs、苯并芘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包括二次PM2.5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□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不包括二次PM2.5□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评价标准</w:t>
            </w: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评价标准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国家标准☑</w:t>
            </w:r>
          </w:p>
        </w:tc>
        <w:tc>
          <w:tcPr>
            <w:tcW w:w="809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地方标准□</w:t>
            </w:r>
          </w:p>
        </w:tc>
        <w:tc>
          <w:tcPr>
            <w:tcW w:w="808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附录D□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其他标准□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现状评价</w:t>
            </w: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环境功能区</w:t>
            </w:r>
          </w:p>
        </w:tc>
        <w:tc>
          <w:tcPr>
            <w:tcW w:w="1059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一类区□</w:t>
            </w:r>
          </w:p>
        </w:tc>
        <w:tc>
          <w:tcPr>
            <w:tcW w:w="1289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二类区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52"/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一类区和二类区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评价基准年</w:t>
            </w:r>
          </w:p>
        </w:tc>
        <w:tc>
          <w:tcPr>
            <w:tcW w:w="3766" w:type="pct"/>
            <w:gridSpan w:val="1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（20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环境空气质量现状调查数据来源</w:t>
            </w:r>
          </w:p>
        </w:tc>
        <w:tc>
          <w:tcPr>
            <w:tcW w:w="1059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长期例行监测数据□</w:t>
            </w:r>
          </w:p>
        </w:tc>
        <w:tc>
          <w:tcPr>
            <w:tcW w:w="1289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主管部门发布的数据☑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现状补充监测☑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现状评价</w:t>
            </w:r>
          </w:p>
        </w:tc>
        <w:tc>
          <w:tcPr>
            <w:tcW w:w="2348" w:type="pct"/>
            <w:gridSpan w:val="1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达标区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不达标区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污染源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调查</w:t>
            </w: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调查内容</w:t>
            </w:r>
          </w:p>
        </w:tc>
        <w:tc>
          <w:tcPr>
            <w:tcW w:w="1135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本项目正常排放源□</w:t>
            </w:r>
          </w:p>
          <w:p>
            <w:pPr>
              <w:adjustRightInd w:val="0"/>
              <w:snapToGrid w:val="0"/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本项目非正常排放源□</w:t>
            </w:r>
          </w:p>
          <w:p>
            <w:pPr>
              <w:adjustRightInd w:val="0"/>
              <w:snapToGrid w:val="0"/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现有污染源□</w:t>
            </w:r>
          </w:p>
        </w:tc>
        <w:tc>
          <w:tcPr>
            <w:tcW w:w="990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拟替代的污染源□</w:t>
            </w:r>
          </w:p>
        </w:tc>
        <w:tc>
          <w:tcPr>
            <w:tcW w:w="1021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其他在建、拟建项目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污染源□</w:t>
            </w:r>
          </w:p>
        </w:tc>
        <w:tc>
          <w:tcPr>
            <w:tcW w:w="619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区域污染源□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大气环境影响预测与评价</w:t>
            </w: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预测模型</w:t>
            </w:r>
          </w:p>
        </w:tc>
        <w:tc>
          <w:tcPr>
            <w:tcW w:w="498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AERMOD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ADMS□</w:t>
            </w:r>
          </w:p>
        </w:tc>
        <w:tc>
          <w:tcPr>
            <w:tcW w:w="761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AUSTAL2000□</w:t>
            </w:r>
          </w:p>
        </w:tc>
        <w:tc>
          <w:tcPr>
            <w:tcW w:w="622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EDMS/AEDT□</w:t>
            </w:r>
          </w:p>
        </w:tc>
        <w:tc>
          <w:tcPr>
            <w:tcW w:w="588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CALPUFF□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网格模型□</w:t>
            </w:r>
          </w:p>
        </w:tc>
        <w:tc>
          <w:tcPr>
            <w:tcW w:w="328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其他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预测范围</w:t>
            </w:r>
          </w:p>
        </w:tc>
        <w:tc>
          <w:tcPr>
            <w:tcW w:w="1059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边长≥50km□</w:t>
            </w:r>
          </w:p>
        </w:tc>
        <w:tc>
          <w:tcPr>
            <w:tcW w:w="1289" w:type="pct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边长5～50km□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边长=5km☑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预测因子</w:t>
            </w:r>
          </w:p>
        </w:tc>
        <w:tc>
          <w:tcPr>
            <w:tcW w:w="2348" w:type="pct"/>
            <w:gridSpan w:val="1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预测因子（             ）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包括二次PM2.5□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不包括二次PM2.5☑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正常排放短期浓度贡献值</w:t>
            </w:r>
          </w:p>
        </w:tc>
        <w:tc>
          <w:tcPr>
            <w:tcW w:w="2348" w:type="pct"/>
            <w:gridSpan w:val="1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本项目</w:t>
            </w:r>
            <w:r>
              <w:rPr>
                <w:rFonts w:hint="eastAsia" w:ascii="宋体" w:hAnsi="宋体" w:cs="宋体"/>
                <w:sz w:val="18"/>
                <w:szCs w:val="18"/>
              </w:rPr>
              <w:t>最大占标率≤100%□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本项目</w:t>
            </w:r>
            <w:r>
              <w:rPr>
                <w:rFonts w:hint="eastAsia" w:ascii="宋体" w:hAnsi="宋体" w:cs="宋体"/>
                <w:sz w:val="18"/>
                <w:szCs w:val="18"/>
              </w:rPr>
              <w:t>最大占标率＞100%□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正常排放年均浓度贡献值</w:t>
            </w:r>
          </w:p>
        </w:tc>
        <w:tc>
          <w:tcPr>
            <w:tcW w:w="454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一类区</w:t>
            </w:r>
          </w:p>
        </w:tc>
        <w:tc>
          <w:tcPr>
            <w:tcW w:w="1893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本项目</w:t>
            </w:r>
            <w:r>
              <w:rPr>
                <w:rFonts w:hint="eastAsia" w:ascii="宋体" w:hAnsi="宋体" w:cs="宋体"/>
                <w:sz w:val="18"/>
                <w:szCs w:val="18"/>
              </w:rPr>
              <w:t>最大占标率≤10%□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本项目</w:t>
            </w:r>
            <w:r>
              <w:rPr>
                <w:rFonts w:hint="eastAsia" w:ascii="宋体" w:hAnsi="宋体" w:cs="宋体"/>
                <w:sz w:val="18"/>
                <w:szCs w:val="18"/>
              </w:rPr>
              <w:t>最大占标率＞10%□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二类区</w:t>
            </w:r>
          </w:p>
        </w:tc>
        <w:tc>
          <w:tcPr>
            <w:tcW w:w="1893" w:type="pct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本项目</w:t>
            </w:r>
            <w:r>
              <w:rPr>
                <w:rFonts w:hint="eastAsia" w:ascii="宋体" w:hAnsi="宋体" w:cs="宋体"/>
                <w:sz w:val="18"/>
                <w:szCs w:val="18"/>
              </w:rPr>
              <w:t>最大占标率≤30%□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本项目</w:t>
            </w:r>
            <w:r>
              <w:rPr>
                <w:rFonts w:hint="eastAsia" w:ascii="宋体" w:hAnsi="宋体" w:cs="宋体"/>
                <w:sz w:val="18"/>
                <w:szCs w:val="18"/>
              </w:rPr>
              <w:t>最大占标率＞30%□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非正常排放1h浓度贡献值</w:t>
            </w:r>
          </w:p>
        </w:tc>
        <w:tc>
          <w:tcPr>
            <w:tcW w:w="964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非正常持续时长（）h</w:t>
            </w:r>
          </w:p>
        </w:tc>
        <w:tc>
          <w:tcPr>
            <w:tcW w:w="1383" w:type="pct"/>
            <w:gridSpan w:val="8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非正常</w:t>
            </w:r>
            <w:r>
              <w:rPr>
                <w:rFonts w:hint="eastAsia" w:ascii="宋体" w:hAnsi="宋体" w:cs="宋体"/>
                <w:sz w:val="18"/>
                <w:szCs w:val="18"/>
              </w:rPr>
              <w:t>占标率≤100%□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非正常</w:t>
            </w:r>
            <w:r>
              <w:rPr>
                <w:rFonts w:hint="eastAsia" w:ascii="宋体" w:hAnsi="宋体" w:cs="宋体"/>
                <w:sz w:val="18"/>
                <w:szCs w:val="18"/>
              </w:rPr>
              <w:t>占标率＞100%□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保证率日平均浓度和年平均浓度叠加值</w:t>
            </w:r>
          </w:p>
        </w:tc>
        <w:tc>
          <w:tcPr>
            <w:tcW w:w="2348" w:type="pct"/>
            <w:gridSpan w:val="1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叠加</w:t>
            </w:r>
            <w:r>
              <w:rPr>
                <w:rFonts w:hint="eastAsia" w:ascii="宋体" w:hAnsi="宋体" w:cs="宋体"/>
                <w:sz w:val="18"/>
                <w:szCs w:val="18"/>
              </w:rPr>
              <w:t>达标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叠加</w:t>
            </w:r>
            <w:r>
              <w:rPr>
                <w:rFonts w:hint="eastAsia" w:ascii="宋体" w:hAnsi="宋体" w:cs="宋体"/>
                <w:sz w:val="18"/>
                <w:szCs w:val="18"/>
              </w:rPr>
              <w:t>不达标□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区域环境质量的整体变化情况</w:t>
            </w:r>
          </w:p>
        </w:tc>
        <w:tc>
          <w:tcPr>
            <w:tcW w:w="2348" w:type="pct"/>
            <w:gridSpan w:val="1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k≤-20%□</w:t>
            </w:r>
          </w:p>
        </w:tc>
        <w:tc>
          <w:tcPr>
            <w:tcW w:w="1418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k＞-20%□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环境监测计划</w:t>
            </w: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污染源监测</w:t>
            </w:r>
          </w:p>
        </w:tc>
        <w:tc>
          <w:tcPr>
            <w:tcW w:w="1805" w:type="pct"/>
            <w:gridSpan w:val="10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监测因子：（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颗粒物、VOCs、苯并芘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</w:t>
            </w:r>
          </w:p>
        </w:tc>
        <w:tc>
          <w:tcPr>
            <w:tcW w:w="105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有组织废气监测□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无组织废气监测□</w:t>
            </w:r>
          </w:p>
        </w:tc>
        <w:tc>
          <w:tcPr>
            <w:tcW w:w="907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无监测□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环境质量监测</w:t>
            </w:r>
          </w:p>
        </w:tc>
        <w:tc>
          <w:tcPr>
            <w:tcW w:w="1805" w:type="pct"/>
            <w:gridSpan w:val="10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监测因子：（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TSP、TVOC、苯并芘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</w:t>
            </w:r>
          </w:p>
        </w:tc>
        <w:tc>
          <w:tcPr>
            <w:tcW w:w="105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监测点位数（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</w:p>
        </w:tc>
        <w:tc>
          <w:tcPr>
            <w:tcW w:w="907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无监测□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评价结论</w:t>
            </w: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环境影响</w:t>
            </w:r>
          </w:p>
        </w:tc>
        <w:tc>
          <w:tcPr>
            <w:tcW w:w="3766" w:type="pct"/>
            <w:gridSpan w:val="1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可以接受☑     不可以接受□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大气环境防护距离</w:t>
            </w:r>
          </w:p>
        </w:tc>
        <w:tc>
          <w:tcPr>
            <w:tcW w:w="3766" w:type="pct"/>
            <w:gridSpan w:val="1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距（ ）厂界最远（ ）m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498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污染源年排放量</w:t>
            </w:r>
          </w:p>
        </w:tc>
        <w:tc>
          <w:tcPr>
            <w:tcW w:w="964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SO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：（   ）t/a</w:t>
            </w:r>
          </w:p>
        </w:tc>
        <w:tc>
          <w:tcPr>
            <w:tcW w:w="841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NO</w:t>
            </w:r>
            <w:r>
              <w:rPr>
                <w:rFonts w:hint="eastAsia" w:ascii="宋体" w:hAnsi="宋体" w:cs="宋体"/>
                <w:sz w:val="18"/>
                <w:szCs w:val="18"/>
                <w:vertAlign w:val="subscript"/>
              </w:rPr>
              <w:t>x</w:t>
            </w:r>
            <w:r>
              <w:rPr>
                <w:rFonts w:hint="eastAsia" w:ascii="宋体" w:hAnsi="宋体" w:cs="宋体"/>
                <w:sz w:val="18"/>
                <w:szCs w:val="18"/>
              </w:rPr>
              <w:t>：（   ）t/a</w:t>
            </w:r>
          </w:p>
        </w:tc>
        <w:tc>
          <w:tcPr>
            <w:tcW w:w="105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颗粒物：（   ）t/a</w:t>
            </w:r>
          </w:p>
        </w:tc>
        <w:tc>
          <w:tcPr>
            <w:tcW w:w="907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VOCs：（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0.03125</w:t>
            </w:r>
            <w:r>
              <w:rPr>
                <w:rFonts w:hint="eastAsia" w:ascii="宋体" w:hAnsi="宋体" w:cs="宋体"/>
                <w:sz w:val="18"/>
                <w:szCs w:val="18"/>
              </w:rPr>
              <w:t>）t/a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5000" w:type="pct"/>
            <w:gridSpan w:val="19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注：“□”为勾选项，填“√”；“（ ）”为内容填写项</w:t>
            </w:r>
          </w:p>
        </w:tc>
      </w:tr>
    </w:tbl>
    <w:p>
      <w:pPr>
        <w:adjustRightInd w:val="0"/>
        <w:snapToGrid w:val="0"/>
        <w:spacing w:line="14" w:lineRule="auto"/>
        <w:rPr>
          <w:rFonts w:asciiTheme="minorEastAsia" w:hAnsiTheme="minorEastAsia" w:eastAsiaTheme="minorEastAsia"/>
          <w:b/>
          <w:bCs/>
          <w:color w:val="000000"/>
          <w:szCs w:val="21"/>
        </w:rPr>
      </w:pPr>
      <w:r>
        <w:rPr>
          <w:rFonts w:asciiTheme="minorEastAsia" w:hAnsiTheme="minorEastAsia" w:eastAsiaTheme="minorEastAsia"/>
          <w:b/>
          <w:bCs/>
          <w:color w:val="000000"/>
          <w:szCs w:val="21"/>
        </w:rPr>
        <w:br w:type="page"/>
      </w:r>
    </w:p>
    <w:p>
      <w:pPr>
        <w:spacing w:line="276" w:lineRule="auto"/>
        <w:ind w:firstLine="422" w:firstLineChars="200"/>
        <w:jc w:val="center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附表</w:t>
      </w:r>
      <w:r>
        <w:rPr>
          <w:rFonts w:hint="eastAsia" w:asciiTheme="minorEastAsia" w:hAnsiTheme="minorEastAsia" w:eastAsiaTheme="minorEastAsia"/>
          <w:b/>
          <w:bCs/>
          <w:szCs w:val="21"/>
          <w:lang w:val="en-US" w:eastAsia="zh-CN"/>
        </w:rPr>
        <w:t>4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bCs/>
          <w:szCs w:val="21"/>
        </w:rPr>
        <w:t xml:space="preserve">  土壤环境影响评价自查表</w:t>
      </w:r>
    </w:p>
    <w:tbl>
      <w:tblPr>
        <w:tblStyle w:val="1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9"/>
        <w:gridCol w:w="1778"/>
        <w:gridCol w:w="1210"/>
        <w:gridCol w:w="269"/>
        <w:gridCol w:w="1094"/>
        <w:gridCol w:w="1114"/>
        <w:gridCol w:w="248"/>
        <w:gridCol w:w="1665"/>
        <w:gridCol w:w="126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229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工作内容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完成情况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影响识别</w:t>
            </w: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影响类型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污染影响型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Cs w:val="21"/>
              </w:rPr>
              <w:t>；</w:t>
            </w:r>
            <w:r>
              <w:rPr>
                <w:rFonts w:asciiTheme="minorEastAsia" w:hAnsiTheme="minorEastAsia" w:eastAsiaTheme="minorEastAsia"/>
                <w:szCs w:val="21"/>
              </w:rPr>
              <w:t>生态影响型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√；</w:t>
            </w:r>
            <w:r>
              <w:rPr>
                <w:rFonts w:asciiTheme="minorEastAsia" w:hAnsiTheme="minorEastAsia" w:eastAsiaTheme="minorEastAsia"/>
                <w:szCs w:val="21"/>
              </w:rPr>
              <w:t>两种兼有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A3"/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土地利用类型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建设用地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Cs w:val="21"/>
              </w:rPr>
              <w:t>；</w:t>
            </w:r>
            <w:r>
              <w:rPr>
                <w:rFonts w:asciiTheme="minorEastAsia" w:hAnsiTheme="minorEastAsia" w:eastAsiaTheme="minorEastAsia"/>
                <w:szCs w:val="21"/>
              </w:rPr>
              <w:t>农用地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Cs w:val="21"/>
              </w:rPr>
              <w:t>；</w:t>
            </w:r>
            <w:r>
              <w:rPr>
                <w:rFonts w:asciiTheme="minorEastAsia" w:hAnsiTheme="minorEastAsia" w:eastAsiaTheme="minorEastAsia"/>
                <w:szCs w:val="21"/>
              </w:rPr>
              <w:t>未利用地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52"/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土地利用类型图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占地规模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0.1098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hm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敏感目标信息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敏感目标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（）、方位（</w:t>
            </w:r>
            <w:r>
              <w:rPr>
                <w:rFonts w:asciiTheme="minorEastAsia" w:hAnsiTheme="minorEastAsia" w:eastAsiaTheme="minorEastAsia"/>
                <w:szCs w:val="21"/>
              </w:rPr>
              <w:t>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、距离（</w:t>
            </w:r>
            <w:r>
              <w:rPr>
                <w:rFonts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影响途径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大气沉降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 w:eastAsiaTheme="minorEastAsia"/>
                <w:szCs w:val="21"/>
              </w:rPr>
              <w:t>；地面漫流□；垂直入渗□；地下水位□；其他（  ）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全部污染物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特征因子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所述土壤环境影响评价项目类别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Ⅰ类□；Ⅱ类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Cs w:val="21"/>
              </w:rPr>
              <w:t>；Ⅲ类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 w:eastAsiaTheme="minorEastAsia"/>
                <w:szCs w:val="21"/>
              </w:rPr>
              <w:t>；Ⅳ类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A3"/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敏感程度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敏感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Cs w:val="21"/>
              </w:rPr>
              <w:t>；较敏感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 w:eastAsiaTheme="minorEastAsia"/>
                <w:szCs w:val="21"/>
              </w:rPr>
              <w:t>；不敏感□；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229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评价工作等级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一级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□；</w:t>
            </w:r>
            <w:r>
              <w:rPr>
                <w:rFonts w:asciiTheme="minorEastAsia" w:hAnsiTheme="minorEastAsia" w:eastAsiaTheme="minorEastAsia"/>
                <w:szCs w:val="21"/>
              </w:rPr>
              <w:t>二级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□；</w:t>
            </w:r>
            <w:r>
              <w:rPr>
                <w:rFonts w:asciiTheme="minorEastAsia" w:hAnsiTheme="minorEastAsia" w:eastAsiaTheme="minorEastAsia"/>
                <w:szCs w:val="21"/>
              </w:rPr>
              <w:t>三级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52"/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现状调查内容</w:t>
            </w: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资料收集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a） □；b） □；c） □；d） □；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理化特性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default" w:cs="Times New Roman" w:asciiTheme="minorEastAsia" w:hAnsiTheme="minorEastAsia" w:eastAsiaTheme="minorEastAsia"/>
                <w:szCs w:val="21"/>
              </w:rPr>
              <w:t>①素填土、②淤泥混砂、③粉质黏土（可塑</w:t>
            </w: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-</w:t>
            </w:r>
            <w:r>
              <w:rPr>
                <w:rFonts w:hint="default" w:cs="Times New Roman" w:asciiTheme="minorEastAsia" w:hAnsiTheme="minorEastAsia" w:eastAsiaTheme="minorEastAsia"/>
                <w:szCs w:val="21"/>
              </w:rPr>
              <w:t>硬塑）、④砾砂、⑤圆砾、⑥砾砂、⑦粉质黏土（硬塑）、⑧粗砂、⑨砾砂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现状监测点位</w:t>
            </w:r>
          </w:p>
        </w:tc>
        <w:tc>
          <w:tcPr>
            <w:tcW w:w="66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占地范围内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占地范围外</w:t>
            </w:r>
          </w:p>
        </w:tc>
        <w:tc>
          <w:tcPr>
            <w:tcW w:w="91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深度</w:t>
            </w:r>
          </w:p>
        </w:tc>
        <w:tc>
          <w:tcPr>
            <w:tcW w:w="695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6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表层样点数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>0</w:t>
            </w:r>
          </w:p>
        </w:tc>
        <w:tc>
          <w:tcPr>
            <w:tcW w:w="91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>0</w:t>
            </w:r>
          </w:p>
        </w:tc>
        <w:tc>
          <w:tcPr>
            <w:tcW w:w="695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6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柱状样点数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>0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>0</w:t>
            </w:r>
          </w:p>
        </w:tc>
        <w:tc>
          <w:tcPr>
            <w:tcW w:w="915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>0</w:t>
            </w:r>
          </w:p>
        </w:tc>
        <w:tc>
          <w:tcPr>
            <w:tcW w:w="695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现状监测因子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eastAsia="宋体"/>
                <w:color w:val="auto"/>
                <w:lang w:eastAsia="zh-CN"/>
              </w:rPr>
              <w:t>GB36600-2018中的45项指标、pH</w:t>
            </w:r>
            <w:r>
              <w:rPr>
                <w:rFonts w:hint="eastAsia"/>
                <w:color w:val="auto"/>
                <w:lang w:eastAsia="zh-CN"/>
              </w:rPr>
              <w:t>和</w:t>
            </w:r>
            <w:r>
              <w:rPr>
                <w:rFonts w:hint="eastAsia" w:eastAsia="宋体"/>
                <w:color w:val="auto"/>
                <w:lang w:eastAsia="zh-CN"/>
              </w:rPr>
              <w:t>石油烃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现状评价</w:t>
            </w: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评价因子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eastAsia="宋体"/>
                <w:color w:val="auto"/>
                <w:lang w:eastAsia="zh-CN"/>
              </w:rPr>
              <w:t>GB36600-2018中的45项指标、pH</w:t>
            </w:r>
            <w:r>
              <w:rPr>
                <w:rFonts w:hint="eastAsia"/>
                <w:color w:val="auto"/>
                <w:lang w:eastAsia="zh-CN"/>
              </w:rPr>
              <w:t>和</w:t>
            </w:r>
            <w:r>
              <w:rPr>
                <w:rFonts w:hint="eastAsia" w:eastAsia="宋体"/>
                <w:color w:val="auto"/>
                <w:lang w:eastAsia="zh-CN"/>
              </w:rPr>
              <w:t>石油烃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评价标准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GB 15618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；GB 36600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；表D.10□；表D.2□；其他（）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现状评价结论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  <w:t>达标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影响预测</w:t>
            </w: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预测因子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eastAsia="宋体"/>
                <w:color w:val="auto"/>
                <w:lang w:eastAsia="zh-CN"/>
              </w:rPr>
              <w:t>石油烃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预测方法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附录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E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；附录F□；其他（ ）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预测分析内容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影响范围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  <w:t>√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）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影响程度（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  <w:t>√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）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预测结论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达标结论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：</w:t>
            </w: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a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）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；b）□；c）□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不达标结论：a）□；b）□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防治措施</w:t>
            </w: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防控措施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土壤环境质量现状保障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；源头控制□；过程防控□；其他（）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跟踪监测</w:t>
            </w:r>
          </w:p>
        </w:tc>
        <w:tc>
          <w:tcPr>
            <w:tcW w:w="813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监测点数</w:t>
            </w:r>
          </w:p>
        </w:tc>
        <w:tc>
          <w:tcPr>
            <w:tcW w:w="1213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监测指标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监测频次</w:t>
            </w:r>
          </w:p>
        </w:tc>
        <w:tc>
          <w:tcPr>
            <w:tcW w:w="695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13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1213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695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2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信息公开指标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695" w:type="pct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229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评价结论</w:t>
            </w:r>
          </w:p>
        </w:tc>
        <w:tc>
          <w:tcPr>
            <w:tcW w:w="3076" w:type="pct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从土壤环境影响角度而言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</w:t>
            </w:r>
            <w:r>
              <w:rPr>
                <w:rFonts w:asciiTheme="minorEastAsia" w:hAnsiTheme="minorEastAsia" w:eastAsiaTheme="minorEastAsia"/>
                <w:szCs w:val="21"/>
              </w:rPr>
              <w:t>项目建设可行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。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注1：“口”为勾选项，可√“（ ）”为内容填写项；“备注”为其他补充内容。</w:t>
            </w:r>
          </w:p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注2：需要分别开展土壤环境影响评级工作的，分别填写自查表。</w:t>
            </w:r>
          </w:p>
        </w:tc>
      </w:tr>
    </w:tbl>
    <w:p>
      <w:pPr>
        <w:rPr>
          <w:rFonts w:asciiTheme="minorEastAsia" w:hAnsiTheme="minorEastAsia" w:eastAsiaTheme="minorEastAsia"/>
          <w:szCs w:val="21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A24E3"/>
    <w:rsid w:val="000F261A"/>
    <w:rsid w:val="001367BE"/>
    <w:rsid w:val="001921E6"/>
    <w:rsid w:val="001F01EC"/>
    <w:rsid w:val="00200E31"/>
    <w:rsid w:val="0027122C"/>
    <w:rsid w:val="003E7429"/>
    <w:rsid w:val="00424F6B"/>
    <w:rsid w:val="004341CD"/>
    <w:rsid w:val="00477111"/>
    <w:rsid w:val="00480BFD"/>
    <w:rsid w:val="0048330D"/>
    <w:rsid w:val="005A2D3D"/>
    <w:rsid w:val="00670F3C"/>
    <w:rsid w:val="006B1C55"/>
    <w:rsid w:val="006B334D"/>
    <w:rsid w:val="006C629E"/>
    <w:rsid w:val="007105FD"/>
    <w:rsid w:val="007E2BBC"/>
    <w:rsid w:val="008243CD"/>
    <w:rsid w:val="008853E8"/>
    <w:rsid w:val="008B609C"/>
    <w:rsid w:val="00972332"/>
    <w:rsid w:val="00A126BB"/>
    <w:rsid w:val="00A359F4"/>
    <w:rsid w:val="00A80BCE"/>
    <w:rsid w:val="00AA0F06"/>
    <w:rsid w:val="00AC2E89"/>
    <w:rsid w:val="00AC7D0C"/>
    <w:rsid w:val="00AE2693"/>
    <w:rsid w:val="00AF7390"/>
    <w:rsid w:val="00B27562"/>
    <w:rsid w:val="00B613BF"/>
    <w:rsid w:val="00BA7F76"/>
    <w:rsid w:val="00C02FAB"/>
    <w:rsid w:val="00C32AAB"/>
    <w:rsid w:val="00CE22C7"/>
    <w:rsid w:val="00CE2571"/>
    <w:rsid w:val="00CF1A65"/>
    <w:rsid w:val="00D07E5B"/>
    <w:rsid w:val="00D47FA2"/>
    <w:rsid w:val="00D51B30"/>
    <w:rsid w:val="00D53428"/>
    <w:rsid w:val="00D80FB2"/>
    <w:rsid w:val="00DF3855"/>
    <w:rsid w:val="00E42F9B"/>
    <w:rsid w:val="00E434CC"/>
    <w:rsid w:val="00E622E6"/>
    <w:rsid w:val="00E90604"/>
    <w:rsid w:val="00F04523"/>
    <w:rsid w:val="00F75832"/>
    <w:rsid w:val="00F80D9B"/>
    <w:rsid w:val="00FB6B47"/>
    <w:rsid w:val="0C251904"/>
    <w:rsid w:val="0F1D46D5"/>
    <w:rsid w:val="2B42522E"/>
    <w:rsid w:val="30C62A61"/>
    <w:rsid w:val="364D2C41"/>
    <w:rsid w:val="4A465E65"/>
    <w:rsid w:val="4E51049D"/>
    <w:rsid w:val="54C22745"/>
    <w:rsid w:val="55E543B3"/>
    <w:rsid w:val="62BC2AAC"/>
    <w:rsid w:val="76352641"/>
    <w:rsid w:val="773C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正文格式 Char"/>
    <w:link w:val="12"/>
    <w:qFormat/>
    <w:uiPriority w:val="0"/>
    <w:rPr>
      <w:rFonts w:ascii="宋体" w:eastAsia="宋体" w:cs="宋体"/>
      <w:sz w:val="24"/>
      <w:szCs w:val="24"/>
    </w:rPr>
  </w:style>
  <w:style w:type="paragraph" w:customStyle="1" w:styleId="12">
    <w:name w:val="正文格式"/>
    <w:basedOn w:val="1"/>
    <w:link w:val="11"/>
    <w:qFormat/>
    <w:uiPriority w:val="0"/>
    <w:pPr>
      <w:spacing w:line="360" w:lineRule="auto"/>
      <w:ind w:firstLine="482"/>
    </w:pPr>
    <w:rPr>
      <w:rFonts w:ascii="宋体" w:cs="宋体" w:hAnsiTheme="minorHAnsi"/>
      <w:sz w:val="24"/>
      <w:szCs w:val="24"/>
    </w:rPr>
  </w:style>
  <w:style w:type="character" w:customStyle="1" w:styleId="13">
    <w:name w:val="页眉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文字 Char"/>
    <w:basedOn w:val="9"/>
    <w:link w:val="3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6">
    <w:name w:val="批注主题 Char"/>
    <w:basedOn w:val="15"/>
    <w:link w:val="7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character" w:customStyle="1" w:styleId="17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table" w:customStyle="1" w:styleId="18">
    <w:name w:val="样式3"/>
    <w:basedOn w:val="8"/>
    <w:qFormat/>
    <w:uiPriority w:val="99"/>
    <w:pPr>
      <w:jc w:val="center"/>
    </w:pPr>
    <w:rPr>
      <w:rFonts w:ascii="Times New Roman" w:hAnsi="Times New Roman" w:eastAsia="宋体" w:cs="Times New Roman"/>
    </w:rPr>
    <w:tblPr>
      <w:jc w:val="center"/>
      <w:tblBorders>
        <w:top w:val="single" w:color="auto" w:sz="12" w:space="0"/>
        <w:bottom w:val="single" w:color="auto" w:sz="12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</w:style>
  <w:style w:type="paragraph" w:customStyle="1" w:styleId="19">
    <w:name w:val="表文字"/>
    <w:basedOn w:val="1"/>
    <w:qFormat/>
    <w:uiPriority w:val="0"/>
    <w:pPr>
      <w:spacing w:line="360" w:lineRule="auto"/>
      <w:jc w:val="center"/>
    </w:pPr>
    <w:rPr>
      <w:kern w:val="10"/>
      <w:sz w:val="24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  <w:style w:type="paragraph" w:customStyle="1" w:styleId="21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宋体" w:hAnsi="宋体" w:eastAsia="宋体" w:cstheme="minorBidi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LVKJ.taobao.com</Company>
  <Pages>6</Pages>
  <Words>761</Words>
  <Characters>4340</Characters>
  <Lines>36</Lines>
  <Paragraphs>10</Paragraphs>
  <TotalTime>0</TotalTime>
  <ScaleCrop>false</ScaleCrop>
  <LinksUpToDate>false</LinksUpToDate>
  <CharactersWithSpaces>5091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2019-11-11T11:11:00Z</dcterms:created>
  <dc:creator>LVKJ</dc:creator>
  <cp:lastModifiedBy>珊珊</cp:lastModifiedBy>
  <dcterms:modified xsi:type="dcterms:W3CDTF">2021-12-30T03:49:12Z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7701CCF0592D41D4B482C1ED55BB9102</vt:lpwstr>
  </property>
</Properties>
</file>